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4B" w:rsidRDefault="008E434B" w:rsidP="008E434B">
      <w:pPr>
        <w:spacing w:after="480"/>
        <w:ind w:left="6039"/>
      </w:pPr>
      <w:r>
        <w:t>Приложение № 1</w:t>
      </w:r>
      <w:r>
        <w:br/>
        <w:t xml:space="preserve">к требованиям к форме программы в области энергосбережения и </w:t>
      </w:r>
      <w:bookmarkStart w:id="0" w:name="_GoBack"/>
      <w:bookmarkEnd w:id="0"/>
      <w:r>
        <w:t>повышения энергетической эффективности организаций с участием государства, и муниципального образования и отчетности о ходе ее реализации</w:t>
      </w:r>
    </w:p>
    <w:p w:rsidR="008E434B" w:rsidRDefault="008E434B" w:rsidP="008E434B">
      <w:pPr>
        <w:jc w:val="center"/>
        <w:rPr>
          <w:szCs w:val="26"/>
        </w:rPr>
      </w:pPr>
      <w:r w:rsidRPr="00205130">
        <w:rPr>
          <w:szCs w:val="26"/>
        </w:rPr>
        <w:t>ПАСПОРТ</w:t>
      </w:r>
      <w:r w:rsidRPr="00205130">
        <w:rPr>
          <w:szCs w:val="26"/>
        </w:rPr>
        <w:br/>
        <w:t>ПРОГРАММЫ ЭНЕРГОСБЕРЕЖЕНИЯ И ПОВЫШЕНИЯ ЭНЕРГЕТИЧЕСКОЙ ЭФФЕКТИВНОСТИ</w:t>
      </w:r>
    </w:p>
    <w:p w:rsidR="008E434B" w:rsidRDefault="008E434B" w:rsidP="008E434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ГКУ «Городской информационно-расчетный центр»</w:t>
      </w:r>
    </w:p>
    <w:p w:rsidR="008E434B" w:rsidRDefault="008E434B" w:rsidP="008E434B">
      <w:pPr>
        <w:pBdr>
          <w:top w:val="single" w:sz="4" w:space="1" w:color="auto"/>
        </w:pBdr>
        <w:ind w:left="1701" w:right="1701"/>
        <w:jc w:val="center"/>
      </w:pPr>
      <w:r>
        <w:t xml:space="preserve"> 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258"/>
      </w:tblGrid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258" w:type="dxa"/>
          </w:tcPr>
          <w:p w:rsidR="008E434B" w:rsidRDefault="008E434B" w:rsidP="00040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 ГКУ «Городской информационно-расчетный центр»</w:t>
            </w:r>
          </w:p>
          <w:p w:rsidR="008E434B" w:rsidRPr="0046332F" w:rsidRDefault="008E434B" w:rsidP="0004026D">
            <w:pPr>
              <w:jc w:val="both"/>
              <w:rPr>
                <w:sz w:val="24"/>
                <w:szCs w:val="24"/>
              </w:rPr>
            </w:pP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предприятия (учреждения)</w:t>
            </w:r>
          </w:p>
        </w:tc>
        <w:tc>
          <w:tcPr>
            <w:tcW w:w="7258" w:type="dxa"/>
          </w:tcPr>
          <w:p w:rsidR="008E434B" w:rsidRPr="00200B85" w:rsidRDefault="008E434B" w:rsidP="0004026D">
            <w:pPr>
              <w:jc w:val="both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200B85">
              <w:rPr>
                <w:sz w:val="24"/>
                <w:szCs w:val="24"/>
              </w:rPr>
              <w:t>пр. Шаумяна, д. 20, Санкт–Петербург, 195112</w:t>
            </w: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58" w:type="dxa"/>
          </w:tcPr>
          <w:p w:rsidR="008E434B" w:rsidRDefault="008E434B" w:rsidP="0004026D">
            <w:pPr>
              <w:jc w:val="both"/>
              <w:rPr>
                <w:color w:val="000000"/>
                <w:sz w:val="24"/>
                <w:szCs w:val="24"/>
              </w:rPr>
            </w:pPr>
            <w:r w:rsidRPr="0020408C">
              <w:rPr>
                <w:color w:val="000000"/>
                <w:sz w:val="24"/>
                <w:szCs w:val="24"/>
              </w:rPr>
              <w:t>Федерал</w:t>
            </w:r>
            <w:r>
              <w:rPr>
                <w:color w:val="000000"/>
                <w:sz w:val="24"/>
                <w:szCs w:val="24"/>
              </w:rPr>
              <w:t xml:space="preserve">ьный закон от 23 ноября 2009 г </w:t>
            </w:r>
            <w:r w:rsidRPr="0020408C">
              <w:rPr>
                <w:color w:val="000000"/>
                <w:sz w:val="24"/>
                <w:szCs w:val="24"/>
              </w:rPr>
              <w:t>№261 ФЗ «Об   энергосбережении   и  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E434B" w:rsidRPr="0053610E" w:rsidRDefault="008E434B" w:rsidP="0004026D">
            <w:pPr>
              <w:rPr>
                <w:color w:val="000000"/>
                <w:sz w:val="24"/>
                <w:szCs w:val="24"/>
              </w:rPr>
            </w:pPr>
          </w:p>
        </w:tc>
      </w:tr>
      <w:tr w:rsidR="008E434B" w:rsidTr="0004026D">
        <w:trPr>
          <w:trHeight w:val="1191"/>
        </w:trPr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258" w:type="dxa"/>
          </w:tcPr>
          <w:p w:rsidR="008E434B" w:rsidRPr="000F507E" w:rsidRDefault="008E434B" w:rsidP="0004026D">
            <w:pPr>
              <w:jc w:val="center"/>
              <w:rPr>
                <w:sz w:val="24"/>
                <w:szCs w:val="24"/>
              </w:rPr>
            </w:pPr>
            <w:r w:rsidRPr="000F507E">
              <w:rPr>
                <w:sz w:val="24"/>
                <w:szCs w:val="24"/>
              </w:rPr>
              <w:t>СПб ГКУ «Городской информационно-расчетный центр»</w:t>
            </w:r>
          </w:p>
          <w:p w:rsidR="008E434B" w:rsidRPr="000F507E" w:rsidRDefault="008E434B" w:rsidP="0004026D">
            <w:pPr>
              <w:jc w:val="both"/>
              <w:rPr>
                <w:sz w:val="24"/>
                <w:szCs w:val="24"/>
              </w:rPr>
            </w:pP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258" w:type="dxa"/>
          </w:tcPr>
          <w:p w:rsidR="000F507E" w:rsidRPr="000F507E" w:rsidRDefault="000F507E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sz w:val="24"/>
                <w:szCs w:val="24"/>
              </w:rPr>
              <w:t>СПб ГКУ «Городской информационно-расчетный центр»</w:t>
            </w:r>
          </w:p>
          <w:p w:rsidR="008E434B" w:rsidRPr="000F507E" w:rsidRDefault="008E434B" w:rsidP="0004026D">
            <w:pPr>
              <w:rPr>
                <w:sz w:val="24"/>
                <w:szCs w:val="24"/>
              </w:rPr>
            </w:pP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</w:tcPr>
          <w:p w:rsidR="008E434B" w:rsidRDefault="008E434B" w:rsidP="0004026D">
            <w:pPr>
              <w:shd w:val="clear" w:color="auto" w:fill="FFFFFF"/>
              <w:jc w:val="both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46332F">
              <w:rPr>
                <w:rFonts w:eastAsia="Times New Roman"/>
                <w:noProof/>
                <w:color w:val="000000"/>
                <w:sz w:val="24"/>
                <w:szCs w:val="24"/>
              </w:rPr>
              <w:t>Обеспечение рационального использования   энергетических  ресурсов за  счет реализации       мероприятий  по энергосбережению и  повышению энергетической эффективности</w:t>
            </w:r>
          </w:p>
          <w:p w:rsidR="008E434B" w:rsidRPr="0046332F" w:rsidRDefault="008E434B" w:rsidP="0004026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</w:tcPr>
          <w:p w:rsidR="008E434B" w:rsidRPr="005E1DFE" w:rsidRDefault="008E434B" w:rsidP="0004026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0408C">
              <w:rPr>
                <w:color w:val="000000"/>
                <w:sz w:val="24"/>
                <w:szCs w:val="24"/>
              </w:rPr>
              <w:t xml:space="preserve">еализация организационных </w:t>
            </w:r>
            <w:r>
              <w:rPr>
                <w:color w:val="000000"/>
                <w:sz w:val="24"/>
                <w:szCs w:val="24"/>
              </w:rPr>
              <w:t xml:space="preserve">и технических </w:t>
            </w:r>
            <w:r w:rsidRPr="0020408C">
              <w:rPr>
                <w:color w:val="000000"/>
                <w:sz w:val="24"/>
                <w:szCs w:val="24"/>
              </w:rPr>
              <w:t>мероприятий по энергосбережению и повышению энер</w:t>
            </w:r>
            <w:r>
              <w:rPr>
                <w:color w:val="000000"/>
                <w:sz w:val="24"/>
                <w:szCs w:val="24"/>
              </w:rPr>
              <w:t>гетической эффективности. П</w:t>
            </w:r>
            <w:r w:rsidRPr="0020408C">
              <w:rPr>
                <w:color w:val="000000"/>
                <w:sz w:val="24"/>
                <w:szCs w:val="24"/>
              </w:rPr>
              <w:t xml:space="preserve">овышение эффективности системы </w:t>
            </w:r>
            <w:r>
              <w:rPr>
                <w:color w:val="000000"/>
                <w:sz w:val="24"/>
                <w:szCs w:val="24"/>
              </w:rPr>
              <w:t xml:space="preserve">теплоснабжения, </w:t>
            </w:r>
            <w:r w:rsidRPr="0020408C">
              <w:rPr>
                <w:color w:val="000000"/>
                <w:sz w:val="24"/>
                <w:szCs w:val="24"/>
              </w:rPr>
              <w:t>электроснабжения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0408C">
              <w:rPr>
                <w:color w:val="000000"/>
                <w:sz w:val="24"/>
                <w:szCs w:val="24"/>
              </w:rPr>
              <w:t>водоснабжения и водоотведения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258" w:type="dxa"/>
          </w:tcPr>
          <w:p w:rsidR="008E434B" w:rsidRPr="0046332F" w:rsidRDefault="008E434B" w:rsidP="00194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потребления топливно-экономических ресурсов на </w:t>
            </w:r>
            <w:r w:rsidR="001947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 в течение срока реализации программы</w:t>
            </w: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58" w:type="dxa"/>
          </w:tcPr>
          <w:p w:rsidR="008E434B" w:rsidRPr="0046332F" w:rsidRDefault="008E434B" w:rsidP="0087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7200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8720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годы</w:t>
            </w: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258" w:type="dxa"/>
          </w:tcPr>
          <w:p w:rsidR="008E434B" w:rsidRDefault="008E434B" w:rsidP="0004026D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– бюджетные средства</w:t>
            </w:r>
          </w:p>
          <w:p w:rsidR="008E434B" w:rsidRDefault="008E434B" w:rsidP="0004026D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Объемы финансирования –</w:t>
            </w:r>
            <w:r w:rsidR="008427E0" w:rsidRPr="00872008">
              <w:rPr>
                <w:color w:val="000000"/>
                <w:spacing w:val="5"/>
                <w:sz w:val="24"/>
                <w:szCs w:val="24"/>
              </w:rPr>
              <w:t xml:space="preserve">  </w:t>
            </w:r>
            <w:r w:rsidR="00872008">
              <w:rPr>
                <w:color w:val="000000"/>
                <w:spacing w:val="5"/>
                <w:sz w:val="24"/>
                <w:szCs w:val="24"/>
              </w:rPr>
              <w:t xml:space="preserve">370958,13 </w:t>
            </w:r>
            <w:r>
              <w:rPr>
                <w:color w:val="000000"/>
                <w:spacing w:val="5"/>
                <w:sz w:val="24"/>
                <w:szCs w:val="24"/>
              </w:rPr>
              <w:t>руб.</w:t>
            </w:r>
          </w:p>
          <w:p w:rsidR="008E434B" w:rsidRPr="0046332F" w:rsidRDefault="008E434B" w:rsidP="0004026D">
            <w:pPr>
              <w:rPr>
                <w:sz w:val="24"/>
                <w:szCs w:val="24"/>
              </w:rPr>
            </w:pPr>
          </w:p>
        </w:tc>
      </w:tr>
      <w:tr w:rsidR="008E434B" w:rsidTr="0004026D">
        <w:tc>
          <w:tcPr>
            <w:tcW w:w="3005" w:type="dxa"/>
          </w:tcPr>
          <w:p w:rsidR="008E434B" w:rsidRDefault="008E434B" w:rsidP="00040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258" w:type="dxa"/>
          </w:tcPr>
          <w:p w:rsidR="008E434B" w:rsidRDefault="008E434B" w:rsidP="00040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электрической энергии     –</w:t>
            </w:r>
            <w:r w:rsidR="00AA294C" w:rsidRPr="00AA294C">
              <w:rPr>
                <w:sz w:val="24"/>
                <w:szCs w:val="24"/>
              </w:rPr>
              <w:t xml:space="preserve"> </w:t>
            </w:r>
            <w:r w:rsidR="00257B25" w:rsidRPr="00E01744">
              <w:rPr>
                <w:rFonts w:eastAsia="Times New Roman" w:cs="Times New Roman"/>
                <w:sz w:val="24"/>
                <w:szCs w:val="24"/>
              </w:rPr>
              <w:t>3</w:t>
            </w:r>
            <w:r w:rsidR="00A02169">
              <w:rPr>
                <w:rFonts w:eastAsia="Times New Roman" w:cs="Times New Roman"/>
                <w:sz w:val="24"/>
                <w:szCs w:val="24"/>
              </w:rPr>
              <w:t>789</w:t>
            </w:r>
            <w:r w:rsidR="00257B25">
              <w:rPr>
                <w:rFonts w:eastAsia="Times New Roman" w:cs="Times New Roman"/>
                <w:sz w:val="24"/>
                <w:szCs w:val="24"/>
              </w:rPr>
              <w:t>0</w:t>
            </w:r>
            <w:r w:rsidR="00AA294C" w:rsidRPr="00AA2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кВт.ч</w:t>
            </w:r>
          </w:p>
          <w:p w:rsidR="008E434B" w:rsidRDefault="008E434B" w:rsidP="00AA294C">
            <w:pPr>
              <w:rPr>
                <w:sz w:val="24"/>
                <w:szCs w:val="24"/>
              </w:rPr>
            </w:pPr>
            <w:r w:rsidRPr="0009071C">
              <w:rPr>
                <w:sz w:val="24"/>
                <w:szCs w:val="24"/>
              </w:rPr>
              <w:t>Экономия тепловой энергии        –</w:t>
            </w:r>
            <w:r w:rsidR="00AA294C" w:rsidRPr="00AA294C">
              <w:rPr>
                <w:sz w:val="24"/>
                <w:szCs w:val="24"/>
              </w:rPr>
              <w:t xml:space="preserve">    </w:t>
            </w:r>
            <w:r w:rsidR="00A02169">
              <w:rPr>
                <w:sz w:val="24"/>
                <w:szCs w:val="24"/>
              </w:rPr>
              <w:t>76</w:t>
            </w:r>
            <w:r w:rsidR="00257B25" w:rsidRPr="00E01744">
              <w:rPr>
                <w:rFonts w:eastAsia="Times New Roman" w:cs="Times New Roman"/>
                <w:sz w:val="24"/>
                <w:szCs w:val="24"/>
              </w:rPr>
              <w:t>,</w:t>
            </w:r>
            <w:r w:rsidR="00A02169">
              <w:rPr>
                <w:rFonts w:eastAsia="Times New Roman" w:cs="Times New Roman"/>
                <w:sz w:val="24"/>
                <w:szCs w:val="24"/>
              </w:rPr>
              <w:t>89</w:t>
            </w:r>
            <w:r w:rsidR="00AA294C" w:rsidRPr="00AA294C">
              <w:rPr>
                <w:sz w:val="24"/>
                <w:szCs w:val="24"/>
              </w:rPr>
              <w:t xml:space="preserve"> </w:t>
            </w:r>
            <w:r w:rsidRPr="0009071C">
              <w:rPr>
                <w:sz w:val="24"/>
                <w:szCs w:val="24"/>
              </w:rPr>
              <w:t>Гкал</w:t>
            </w:r>
          </w:p>
          <w:p w:rsidR="005B185A" w:rsidRPr="005B185A" w:rsidRDefault="005B185A" w:rsidP="00AA294C">
            <w:pPr>
              <w:rPr>
                <w:sz w:val="24"/>
                <w:szCs w:val="24"/>
                <w:vertAlign w:val="superscript"/>
              </w:rPr>
            </w:pPr>
            <w:r w:rsidRPr="0009071C">
              <w:rPr>
                <w:sz w:val="24"/>
                <w:szCs w:val="24"/>
              </w:rPr>
              <w:t>Экономия</w:t>
            </w:r>
            <w:r>
              <w:rPr>
                <w:sz w:val="24"/>
                <w:szCs w:val="24"/>
              </w:rPr>
              <w:t xml:space="preserve">  ГВС  - </w:t>
            </w:r>
            <w:r w:rsidR="00A02169">
              <w:rPr>
                <w:sz w:val="24"/>
                <w:szCs w:val="24"/>
              </w:rPr>
              <w:t>76</w:t>
            </w:r>
            <w:r w:rsidR="00257B25">
              <w:rPr>
                <w:rFonts w:eastAsia="Times New Roman" w:cs="Times New Roman"/>
                <w:sz w:val="24"/>
                <w:szCs w:val="24"/>
              </w:rPr>
              <w:t>,</w:t>
            </w:r>
            <w:r w:rsidR="00A02169">
              <w:rPr>
                <w:rFonts w:eastAsia="Times New Roman" w:cs="Times New Roman"/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="00090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5B185A" w:rsidRPr="0046332F" w:rsidRDefault="005B185A" w:rsidP="00A02169">
            <w:pPr>
              <w:rPr>
                <w:sz w:val="24"/>
                <w:szCs w:val="24"/>
              </w:rPr>
            </w:pPr>
            <w:r w:rsidRPr="0009071C">
              <w:rPr>
                <w:sz w:val="24"/>
                <w:szCs w:val="24"/>
              </w:rPr>
              <w:t>Экономия</w:t>
            </w:r>
            <w:r>
              <w:rPr>
                <w:sz w:val="24"/>
                <w:szCs w:val="24"/>
              </w:rPr>
              <w:t xml:space="preserve">  Х/В  - </w:t>
            </w:r>
            <w:r w:rsidR="00A02169">
              <w:rPr>
                <w:sz w:val="24"/>
                <w:szCs w:val="24"/>
              </w:rPr>
              <w:t>160</w:t>
            </w:r>
            <w:r w:rsidR="00257B25" w:rsidRPr="00050D21">
              <w:rPr>
                <w:rFonts w:eastAsia="Times New Roman" w:cs="Times New Roman"/>
                <w:sz w:val="24"/>
                <w:szCs w:val="24"/>
              </w:rPr>
              <w:t>,2</w:t>
            </w:r>
            <w:r w:rsidR="00A02169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090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E434B" w:rsidRDefault="008E434B" w:rsidP="008E434B">
      <w:pPr>
        <w:shd w:val="clear" w:color="auto" w:fill="FFFFFF"/>
        <w:spacing w:before="252" w:line="310" w:lineRule="exact"/>
        <w:ind w:left="94" w:right="-1" w:firstLine="684"/>
        <w:jc w:val="both"/>
        <w:rPr>
          <w:color w:val="000000"/>
          <w:spacing w:val="5"/>
          <w:szCs w:val="26"/>
        </w:rPr>
      </w:pPr>
    </w:p>
    <w:p w:rsidR="008E434B" w:rsidRDefault="008E434B" w:rsidP="008E434B">
      <w:pPr>
        <w:shd w:val="clear" w:color="auto" w:fill="FFFFFF"/>
        <w:spacing w:before="252" w:line="310" w:lineRule="exact"/>
        <w:ind w:left="94" w:right="-1" w:firstLine="48"/>
        <w:jc w:val="center"/>
        <w:rPr>
          <w:rFonts w:ascii="Arial" w:hAnsi="Arial" w:cs="Arial"/>
          <w:b/>
          <w:i/>
          <w:color w:val="000000"/>
          <w:spacing w:val="5"/>
          <w:sz w:val="28"/>
          <w:szCs w:val="28"/>
        </w:rPr>
      </w:pPr>
    </w:p>
    <w:p w:rsidR="008E434B" w:rsidRPr="000156B8" w:rsidRDefault="008E434B" w:rsidP="008E434B">
      <w:pPr>
        <w:shd w:val="clear" w:color="auto" w:fill="FFFFFF"/>
        <w:spacing w:before="252" w:line="310" w:lineRule="exact"/>
        <w:ind w:left="94" w:right="-1" w:firstLine="48"/>
        <w:jc w:val="center"/>
        <w:rPr>
          <w:rFonts w:ascii="Arial" w:hAnsi="Arial" w:cs="Arial"/>
          <w:b/>
          <w:i/>
          <w:color w:val="000000"/>
          <w:spacing w:val="5"/>
          <w:sz w:val="28"/>
          <w:szCs w:val="28"/>
        </w:rPr>
      </w:pPr>
      <w:r w:rsidRPr="000156B8">
        <w:rPr>
          <w:rFonts w:ascii="Arial" w:hAnsi="Arial" w:cs="Arial"/>
          <w:b/>
          <w:i/>
          <w:color w:val="000000"/>
          <w:spacing w:val="5"/>
          <w:sz w:val="28"/>
          <w:szCs w:val="28"/>
        </w:rPr>
        <w:t>Пояснительная записка</w:t>
      </w:r>
    </w:p>
    <w:p w:rsidR="008E434B" w:rsidRDefault="008E434B" w:rsidP="008E434B">
      <w:pPr>
        <w:shd w:val="clear" w:color="auto" w:fill="FFFFFF"/>
        <w:spacing w:before="252" w:line="310" w:lineRule="exact"/>
        <w:ind w:right="-1" w:firstLine="567"/>
        <w:jc w:val="both"/>
      </w:pPr>
      <w:r>
        <w:rPr>
          <w:color w:val="000000"/>
          <w:spacing w:val="5"/>
          <w:szCs w:val="26"/>
        </w:rPr>
        <w:t xml:space="preserve">В настоящее время затраты на энергетические ресурсы составляют </w:t>
      </w:r>
      <w:r>
        <w:rPr>
          <w:color w:val="000000"/>
          <w:spacing w:val="4"/>
          <w:szCs w:val="26"/>
        </w:rPr>
        <w:t xml:space="preserve">существенную часть расходов организации. В условиях увеличения тарифов и </w:t>
      </w:r>
      <w:r>
        <w:rPr>
          <w:color w:val="000000"/>
          <w:spacing w:val="5"/>
          <w:szCs w:val="26"/>
        </w:rPr>
        <w:t xml:space="preserve">цен на энергоносители их расточительное и неэффективное использование </w:t>
      </w:r>
      <w:r>
        <w:rPr>
          <w:color w:val="000000"/>
          <w:spacing w:val="20"/>
          <w:szCs w:val="26"/>
        </w:rPr>
        <w:t xml:space="preserve">недопустимо. Создание условий для повышения эффективности </w:t>
      </w:r>
      <w:r>
        <w:rPr>
          <w:color w:val="000000"/>
          <w:spacing w:val="5"/>
          <w:szCs w:val="26"/>
        </w:rPr>
        <w:t xml:space="preserve">использования энергетических ресурсов становится одной из приоритетных </w:t>
      </w:r>
      <w:r>
        <w:rPr>
          <w:color w:val="000000"/>
          <w:spacing w:val="3"/>
          <w:szCs w:val="26"/>
        </w:rPr>
        <w:t>задач развития организации.</w:t>
      </w:r>
    </w:p>
    <w:p w:rsidR="008E434B" w:rsidRDefault="008E434B" w:rsidP="008E434B">
      <w:pPr>
        <w:shd w:val="clear" w:color="auto" w:fill="FFFFFF"/>
        <w:spacing w:line="302" w:lineRule="exact"/>
        <w:ind w:firstLine="567"/>
        <w:jc w:val="both"/>
      </w:pPr>
      <w:r>
        <w:rPr>
          <w:color w:val="000000"/>
          <w:spacing w:val="6"/>
          <w:szCs w:val="26"/>
        </w:rPr>
        <w:t xml:space="preserve">Основными поставщиками энергетических ресурсов и коммунальных </w:t>
      </w:r>
      <w:r>
        <w:rPr>
          <w:color w:val="000000"/>
          <w:spacing w:val="4"/>
          <w:szCs w:val="26"/>
        </w:rPr>
        <w:t>услуг бюджетного учреждения являются:</w:t>
      </w:r>
    </w:p>
    <w:p w:rsidR="008E434B" w:rsidRDefault="008E434B" w:rsidP="008E434B">
      <w:pPr>
        <w:shd w:val="clear" w:color="auto" w:fill="FFFFFF"/>
        <w:tabs>
          <w:tab w:val="left" w:leader="underscore" w:pos="5270"/>
        </w:tabs>
        <w:spacing w:line="302" w:lineRule="exact"/>
        <w:ind w:firstLine="567"/>
      </w:pPr>
      <w:r>
        <w:rPr>
          <w:color w:val="000000"/>
          <w:szCs w:val="26"/>
        </w:rPr>
        <w:t xml:space="preserve">электрической энергии  </w:t>
      </w:r>
      <w:r w:rsidRPr="003E7D42">
        <w:rPr>
          <w:color w:val="000000"/>
          <w:sz w:val="24"/>
          <w:szCs w:val="24"/>
        </w:rPr>
        <w:t>-</w:t>
      </w:r>
      <w:r>
        <w:rPr>
          <w:color w:val="000000"/>
          <w:szCs w:val="26"/>
        </w:rPr>
        <w:t xml:space="preserve"> </w:t>
      </w:r>
      <w:r w:rsidRPr="003E7D42">
        <w:rPr>
          <w:sz w:val="28"/>
          <w:szCs w:val="28"/>
        </w:rPr>
        <w:t>ОАО «Петербургская сбытовая компания»</w:t>
      </w:r>
    </w:p>
    <w:p w:rsidR="008E434B" w:rsidRDefault="008E434B" w:rsidP="008E434B">
      <w:pPr>
        <w:shd w:val="clear" w:color="auto" w:fill="FFFFFF"/>
        <w:tabs>
          <w:tab w:val="left" w:leader="underscore" w:pos="4651"/>
        </w:tabs>
        <w:spacing w:line="302" w:lineRule="exact"/>
        <w:ind w:firstLine="567"/>
      </w:pPr>
      <w:r>
        <w:rPr>
          <w:color w:val="000000"/>
          <w:szCs w:val="26"/>
        </w:rPr>
        <w:t xml:space="preserve">тепловой </w:t>
      </w:r>
      <w:r w:rsidRPr="00D378FE">
        <w:rPr>
          <w:color w:val="000000"/>
          <w:szCs w:val="26"/>
        </w:rPr>
        <w:t>энергии</w:t>
      </w:r>
      <w:r>
        <w:rPr>
          <w:b/>
          <w:bCs/>
          <w:color w:val="000000"/>
          <w:szCs w:val="26"/>
        </w:rPr>
        <w:t xml:space="preserve"> - </w:t>
      </w:r>
      <w:r>
        <w:rPr>
          <w:color w:val="000000"/>
          <w:szCs w:val="26"/>
        </w:rPr>
        <w:t>ГУП «Топливно-энергетический комплекс» Санкт Петербурга»;</w:t>
      </w:r>
    </w:p>
    <w:p w:rsidR="008E434B" w:rsidRDefault="008E434B" w:rsidP="008E434B">
      <w:pPr>
        <w:shd w:val="clear" w:color="auto" w:fill="FFFFFF"/>
        <w:tabs>
          <w:tab w:val="left" w:leader="underscore" w:pos="3154"/>
        </w:tabs>
        <w:spacing w:line="302" w:lineRule="exact"/>
        <w:ind w:firstLine="567"/>
      </w:pPr>
      <w:r>
        <w:rPr>
          <w:color w:val="000000"/>
          <w:szCs w:val="26"/>
        </w:rPr>
        <w:t>воды - ГУП «Водоканал Санкт Петербурга»;</w:t>
      </w:r>
      <w:r>
        <w:rPr>
          <w:color w:val="000000"/>
          <w:szCs w:val="26"/>
        </w:rPr>
        <w:tab/>
      </w:r>
      <w:r>
        <w:rPr>
          <w:i/>
          <w:iCs/>
          <w:color w:val="000000"/>
          <w:szCs w:val="26"/>
        </w:rPr>
        <w:t xml:space="preserve"> </w:t>
      </w:r>
    </w:p>
    <w:p w:rsidR="008E434B" w:rsidRDefault="008E434B" w:rsidP="008E434B">
      <w:pPr>
        <w:shd w:val="clear" w:color="auto" w:fill="FFFFFF"/>
        <w:ind w:firstLine="567"/>
        <w:rPr>
          <w:color w:val="000000"/>
          <w:spacing w:val="9"/>
          <w:szCs w:val="26"/>
        </w:rPr>
      </w:pPr>
      <w:r>
        <w:rPr>
          <w:color w:val="000000"/>
          <w:spacing w:val="2"/>
          <w:szCs w:val="26"/>
        </w:rPr>
        <w:t xml:space="preserve">водоотведения - </w:t>
      </w:r>
      <w:r>
        <w:rPr>
          <w:color w:val="000000"/>
          <w:szCs w:val="26"/>
        </w:rPr>
        <w:t>ГУП «Водоканал Санкт Петербурга».</w:t>
      </w:r>
    </w:p>
    <w:p w:rsidR="008E434B" w:rsidRDefault="008E434B" w:rsidP="008E434B">
      <w:pPr>
        <w:shd w:val="clear" w:color="auto" w:fill="FFFFFF"/>
        <w:spacing w:line="310" w:lineRule="exact"/>
        <w:ind w:right="144" w:firstLine="567"/>
        <w:jc w:val="both"/>
        <w:rPr>
          <w:color w:val="000000"/>
          <w:szCs w:val="26"/>
        </w:rPr>
      </w:pPr>
      <w:r>
        <w:rPr>
          <w:color w:val="000000"/>
          <w:spacing w:val="9"/>
          <w:szCs w:val="26"/>
        </w:rPr>
        <w:t xml:space="preserve">Организация имеет в оперативном управлении и </w:t>
      </w:r>
      <w:r>
        <w:rPr>
          <w:color w:val="000000"/>
          <w:spacing w:val="8"/>
          <w:szCs w:val="26"/>
        </w:rPr>
        <w:t xml:space="preserve">хозяйственном ведении следующие здания, строения, </w:t>
      </w:r>
      <w:r>
        <w:rPr>
          <w:color w:val="000000"/>
          <w:spacing w:val="3"/>
          <w:szCs w:val="26"/>
        </w:rPr>
        <w:t>сооружения:</w:t>
      </w:r>
    </w:p>
    <w:p w:rsidR="008E434B" w:rsidRDefault="008E434B" w:rsidP="008E434B">
      <w:pPr>
        <w:shd w:val="clear" w:color="auto" w:fill="FFFFFF"/>
        <w:ind w:left="8122"/>
      </w:pPr>
    </w:p>
    <w:tbl>
      <w:tblPr>
        <w:tblpPr w:leftFromText="180" w:rightFromText="180" w:vertAnchor="text" w:horzAnchor="margin" w:tblpXSpec="center" w:tblpY="-50"/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145"/>
        <w:gridCol w:w="1134"/>
        <w:gridCol w:w="2353"/>
      </w:tblGrid>
      <w:tr w:rsidR="008E434B" w:rsidTr="0004026D">
        <w:tc>
          <w:tcPr>
            <w:tcW w:w="3528" w:type="dxa"/>
          </w:tcPr>
          <w:p w:rsidR="008E434B" w:rsidRDefault="008E434B" w:rsidP="0004026D">
            <w:pPr>
              <w:jc w:val="center"/>
            </w:pPr>
            <w:r>
              <w:t>адрес</w:t>
            </w:r>
          </w:p>
        </w:tc>
        <w:tc>
          <w:tcPr>
            <w:tcW w:w="1145" w:type="dxa"/>
          </w:tcPr>
          <w:p w:rsidR="008E434B" w:rsidRDefault="008E434B" w:rsidP="0004026D">
            <w:pPr>
              <w:jc w:val="center"/>
            </w:pPr>
            <w:r>
              <w:t>год постройки</w:t>
            </w:r>
          </w:p>
        </w:tc>
        <w:tc>
          <w:tcPr>
            <w:tcW w:w="1134" w:type="dxa"/>
          </w:tcPr>
          <w:p w:rsidR="008E434B" w:rsidRDefault="008E434B" w:rsidP="0004026D">
            <w:pPr>
              <w:jc w:val="center"/>
            </w:pPr>
            <w:r>
              <w:t xml:space="preserve">Общая </w:t>
            </w:r>
            <w:proofErr w:type="spellStart"/>
            <w:r>
              <w:t>площ</w:t>
            </w:r>
            <w:proofErr w:type="spellEnd"/>
            <w:r>
              <w:t xml:space="preserve"> здания </w:t>
            </w:r>
          </w:p>
        </w:tc>
        <w:tc>
          <w:tcPr>
            <w:tcW w:w="2353" w:type="dxa"/>
          </w:tcPr>
          <w:p w:rsidR="008E434B" w:rsidRDefault="008E434B" w:rsidP="0004026D">
            <w:pPr>
              <w:jc w:val="center"/>
            </w:pPr>
            <w:r>
              <w:t>Кол-во этажей</w:t>
            </w:r>
          </w:p>
        </w:tc>
      </w:tr>
      <w:tr w:rsidR="008E434B" w:rsidTr="0004026D">
        <w:tc>
          <w:tcPr>
            <w:tcW w:w="3528" w:type="dxa"/>
          </w:tcPr>
          <w:p w:rsidR="008E434B" w:rsidRDefault="008E434B" w:rsidP="0004026D">
            <w:pPr>
              <w:jc w:val="center"/>
            </w:pPr>
            <w:r>
              <w:rPr>
                <w:sz w:val="18"/>
                <w:szCs w:val="18"/>
              </w:rPr>
              <w:t>пр. Шаумяна, д. 20, Санкт–Петербург, 195112</w:t>
            </w:r>
          </w:p>
        </w:tc>
        <w:tc>
          <w:tcPr>
            <w:tcW w:w="1145" w:type="dxa"/>
          </w:tcPr>
          <w:p w:rsidR="008E434B" w:rsidRDefault="008E434B" w:rsidP="0004026D">
            <w:pPr>
              <w:jc w:val="center"/>
            </w:pPr>
            <w:r>
              <w:t>1981</w:t>
            </w:r>
          </w:p>
        </w:tc>
        <w:tc>
          <w:tcPr>
            <w:tcW w:w="1134" w:type="dxa"/>
          </w:tcPr>
          <w:p w:rsidR="008E434B" w:rsidRDefault="008E434B" w:rsidP="0004026D">
            <w:pPr>
              <w:jc w:val="center"/>
            </w:pPr>
            <w:r w:rsidRPr="008C241E">
              <w:t>11819,9</w:t>
            </w:r>
            <w:r w:rsidRPr="00587995">
              <w:rPr>
                <w:b/>
                <w:sz w:val="28"/>
                <w:szCs w:val="28"/>
              </w:rPr>
              <w:t xml:space="preserve"> </w:t>
            </w:r>
            <w:r>
              <w:t>(кв. м)</w:t>
            </w:r>
          </w:p>
        </w:tc>
        <w:tc>
          <w:tcPr>
            <w:tcW w:w="2353" w:type="dxa"/>
          </w:tcPr>
          <w:p w:rsidR="008E434B" w:rsidRDefault="008E434B" w:rsidP="0004026D">
            <w:pPr>
              <w:jc w:val="center"/>
            </w:pPr>
            <w:r>
              <w:t xml:space="preserve">16, подвал </w:t>
            </w:r>
          </w:p>
        </w:tc>
      </w:tr>
    </w:tbl>
    <w:p w:rsidR="008E434B" w:rsidRDefault="008E434B" w:rsidP="008E434B">
      <w:pPr>
        <w:shd w:val="clear" w:color="auto" w:fill="FFFFFF"/>
        <w:ind w:left="8122"/>
      </w:pPr>
    </w:p>
    <w:p w:rsidR="008E434B" w:rsidRDefault="008E434B" w:rsidP="008E434B">
      <w:pPr>
        <w:shd w:val="clear" w:color="auto" w:fill="FFFFFF"/>
        <w:ind w:left="8122"/>
      </w:pPr>
    </w:p>
    <w:p w:rsidR="008E434B" w:rsidRPr="00EC512A" w:rsidRDefault="008E434B" w:rsidP="008E434B">
      <w:pPr>
        <w:shd w:val="clear" w:color="auto" w:fill="FFFFFF"/>
        <w:rPr>
          <w:szCs w:val="26"/>
        </w:rPr>
      </w:pPr>
    </w:p>
    <w:p w:rsidR="008E434B" w:rsidRDefault="008E434B" w:rsidP="008E434B">
      <w:pPr>
        <w:shd w:val="clear" w:color="auto" w:fill="FFFFFF"/>
        <w:tabs>
          <w:tab w:val="left" w:leader="underscore" w:pos="7682"/>
        </w:tabs>
        <w:spacing w:line="302" w:lineRule="exact"/>
        <w:ind w:firstLine="567"/>
        <w:jc w:val="both"/>
      </w:pPr>
      <w:r>
        <w:rPr>
          <w:color w:val="000000"/>
          <w:spacing w:val="7"/>
          <w:szCs w:val="26"/>
        </w:rPr>
        <w:t xml:space="preserve">Общая площадь помещений организации составляет -  </w:t>
      </w:r>
      <w:r w:rsidRPr="003E7D42">
        <w:rPr>
          <w:sz w:val="28"/>
          <w:szCs w:val="28"/>
        </w:rPr>
        <w:t>11819,9</w:t>
      </w:r>
      <w:r w:rsidRPr="00587995">
        <w:rPr>
          <w:b/>
          <w:sz w:val="28"/>
          <w:szCs w:val="28"/>
        </w:rPr>
        <w:t xml:space="preserve"> </w:t>
      </w:r>
      <w:r>
        <w:rPr>
          <w:color w:val="000000"/>
          <w:spacing w:val="14"/>
          <w:szCs w:val="26"/>
        </w:rPr>
        <w:t>кв. м, в том</w:t>
      </w:r>
    </w:p>
    <w:p w:rsidR="008E434B" w:rsidRDefault="008E434B" w:rsidP="008E434B">
      <w:pPr>
        <w:shd w:val="clear" w:color="auto" w:fill="FFFFFF"/>
        <w:spacing w:line="302" w:lineRule="exact"/>
        <w:ind w:firstLine="567"/>
        <w:jc w:val="both"/>
      </w:pPr>
      <w:r>
        <w:rPr>
          <w:color w:val="000000"/>
          <w:szCs w:val="26"/>
        </w:rPr>
        <w:t xml:space="preserve">числе отапливаемая - </w:t>
      </w:r>
      <w:r w:rsidRPr="003E7D42">
        <w:rPr>
          <w:sz w:val="28"/>
          <w:szCs w:val="28"/>
        </w:rPr>
        <w:t>11819,9</w:t>
      </w:r>
      <w:r>
        <w:rPr>
          <w:color w:val="000000"/>
          <w:szCs w:val="26"/>
        </w:rPr>
        <w:t xml:space="preserve"> кв. м.</w:t>
      </w:r>
    </w:p>
    <w:p w:rsidR="00257B25" w:rsidRDefault="00257B25" w:rsidP="00257B25">
      <w:pPr>
        <w:shd w:val="clear" w:color="auto" w:fill="FFFFFF"/>
        <w:spacing w:line="310" w:lineRule="exact"/>
        <w:ind w:firstLine="567"/>
        <w:jc w:val="both"/>
      </w:pPr>
      <w:r>
        <w:rPr>
          <w:color w:val="000000"/>
          <w:szCs w:val="26"/>
        </w:rPr>
        <w:t>Для освещения помещений организации используется 3</w:t>
      </w:r>
      <w:r w:rsidRPr="00F91977">
        <w:rPr>
          <w:color w:val="000000"/>
          <w:szCs w:val="26"/>
        </w:rPr>
        <w:t>56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люминесцентнх</w:t>
      </w:r>
      <w:proofErr w:type="spellEnd"/>
      <w:r>
        <w:rPr>
          <w:color w:val="000000"/>
          <w:szCs w:val="26"/>
        </w:rPr>
        <w:t xml:space="preserve"> светильника и 1245 светодиодных</w:t>
      </w:r>
      <w:r w:rsidRPr="00F91977">
        <w:rPr>
          <w:color w:val="000000"/>
          <w:szCs w:val="26"/>
        </w:rPr>
        <w:t xml:space="preserve"> светильника</w:t>
      </w:r>
      <w:r>
        <w:rPr>
          <w:color w:val="000000"/>
          <w:szCs w:val="26"/>
        </w:rPr>
        <w:t xml:space="preserve">. Внутренняя </w:t>
      </w:r>
      <w:r>
        <w:rPr>
          <w:color w:val="000000"/>
          <w:spacing w:val="11"/>
          <w:szCs w:val="26"/>
        </w:rPr>
        <w:t xml:space="preserve">система освещения не оснащена автоматической системой </w:t>
      </w:r>
      <w:r>
        <w:rPr>
          <w:color w:val="000000"/>
          <w:spacing w:val="4"/>
          <w:szCs w:val="26"/>
        </w:rPr>
        <w:t>управления, датчиками движения.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10" w:lineRule="exact"/>
        <w:ind w:firstLine="567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Оплата энергетических ресурсов, потребляемых организацией осуществляется    за счет средств федерального и регионального бюджетов.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10" w:lineRule="exact"/>
        <w:ind w:right="317" w:firstLine="677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02" w:lineRule="exact"/>
        <w:ind w:left="14" w:right="331" w:firstLine="677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257B25" w:rsidRPr="00550EF2" w:rsidRDefault="00257B25" w:rsidP="00257B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ind w:right="324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реализация организационных мероприятий по энергосбережению и повышению энергетической эффективности;</w:t>
      </w:r>
    </w:p>
    <w:p w:rsidR="00257B25" w:rsidRPr="00550EF2" w:rsidRDefault="00257B25" w:rsidP="00257B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повышение эффективности системы теплоснабжения;</w:t>
      </w:r>
    </w:p>
    <w:p w:rsidR="00257B25" w:rsidRPr="00550EF2" w:rsidRDefault="00257B25" w:rsidP="00257B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повышение эффективности системы электроснабжения;</w:t>
      </w:r>
    </w:p>
    <w:p w:rsidR="00257B25" w:rsidRPr="00550EF2" w:rsidRDefault="00257B25" w:rsidP="00257B25">
      <w:pPr>
        <w:widowControl w:val="0"/>
        <w:shd w:val="clear" w:color="auto" w:fill="FFFFFF"/>
        <w:tabs>
          <w:tab w:val="left" w:leader="underscore" w:pos="5321"/>
          <w:tab w:val="left" w:leader="underscore" w:pos="6199"/>
        </w:tabs>
        <w:adjustRightInd w:val="0"/>
        <w:spacing w:line="302" w:lineRule="exact"/>
        <w:ind w:left="720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lastRenderedPageBreak/>
        <w:t>Программа рассчитана на период</w:t>
      </w:r>
      <w:r w:rsidRPr="00E219AA">
        <w:rPr>
          <w:rFonts w:eastAsia="Times New Roman"/>
          <w:color w:val="000000"/>
          <w:szCs w:val="26"/>
        </w:rPr>
        <w:t xml:space="preserve"> </w:t>
      </w:r>
      <w:r>
        <w:rPr>
          <w:sz w:val="24"/>
          <w:szCs w:val="24"/>
        </w:rPr>
        <w:t>201</w:t>
      </w:r>
      <w:r w:rsidRPr="00E219AA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Pr="00E219A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550EF2">
        <w:rPr>
          <w:rFonts w:eastAsia="Times New Roman"/>
          <w:color w:val="000000"/>
          <w:spacing w:val="8"/>
          <w:szCs w:val="26"/>
        </w:rPr>
        <w:t>гг. Реализация Программы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02" w:lineRule="exact"/>
        <w:ind w:left="36"/>
        <w:jc w:val="both"/>
        <w:rPr>
          <w:rFonts w:eastAsia="Times New Roman"/>
          <w:color w:val="000000"/>
          <w:szCs w:val="26"/>
        </w:rPr>
      </w:pPr>
      <w:r w:rsidRPr="00550EF2">
        <w:rPr>
          <w:rFonts w:eastAsia="Times New Roman"/>
          <w:color w:val="000000"/>
          <w:szCs w:val="26"/>
        </w:rPr>
        <w:t>осуществляется в два этапа.</w:t>
      </w:r>
    </w:p>
    <w:p w:rsidR="00257B25" w:rsidRPr="00550EF2" w:rsidRDefault="00257B25" w:rsidP="00257B25">
      <w:pPr>
        <w:widowControl w:val="0"/>
        <w:shd w:val="clear" w:color="auto" w:fill="FFFFFF"/>
        <w:tabs>
          <w:tab w:val="left" w:leader="underscore" w:pos="3463"/>
        </w:tabs>
        <w:adjustRightInd w:val="0"/>
        <w:spacing w:line="302" w:lineRule="exact"/>
        <w:jc w:val="both"/>
        <w:rPr>
          <w:rFonts w:eastAsia="Times New Roman"/>
        </w:rPr>
      </w:pPr>
      <w:r w:rsidRPr="00550EF2">
        <w:rPr>
          <w:rFonts w:eastAsia="Times New Roman"/>
          <w:b/>
          <w:color w:val="000000"/>
          <w:szCs w:val="26"/>
        </w:rPr>
        <w:t>На первом этапе</w:t>
      </w:r>
      <w:r w:rsidRPr="00550EF2">
        <w:rPr>
          <w:rFonts w:eastAsia="Times New Roman"/>
          <w:color w:val="000000"/>
          <w:szCs w:val="26"/>
        </w:rPr>
        <w:t xml:space="preserve"> (201</w:t>
      </w:r>
      <w:r w:rsidRPr="00E219AA">
        <w:rPr>
          <w:rFonts w:eastAsia="Times New Roman"/>
          <w:color w:val="000000"/>
          <w:szCs w:val="26"/>
        </w:rPr>
        <w:t>9</w:t>
      </w:r>
      <w:r>
        <w:rPr>
          <w:rFonts w:eastAsia="Times New Roman"/>
          <w:color w:val="000000"/>
          <w:szCs w:val="26"/>
        </w:rPr>
        <w:t>-20</w:t>
      </w:r>
      <w:r w:rsidRPr="00E219AA">
        <w:rPr>
          <w:rFonts w:eastAsia="Times New Roman"/>
          <w:color w:val="000000"/>
          <w:szCs w:val="26"/>
        </w:rPr>
        <w:t>20</w:t>
      </w:r>
      <w:r w:rsidRPr="00550EF2">
        <w:rPr>
          <w:rFonts w:eastAsia="Times New Roman"/>
          <w:color w:val="000000"/>
          <w:szCs w:val="26"/>
        </w:rPr>
        <w:t xml:space="preserve"> гг.) основными мероприятиями в области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02" w:lineRule="exact"/>
        <w:jc w:val="both"/>
        <w:rPr>
          <w:rFonts w:eastAsia="Times New Roman"/>
        </w:rPr>
      </w:pPr>
      <w:r w:rsidRPr="00550EF2">
        <w:rPr>
          <w:rFonts w:eastAsia="Times New Roman"/>
          <w:color w:val="000000"/>
          <w:szCs w:val="26"/>
        </w:rPr>
        <w:t>энергосбережения и повышения энергетической эффективности должны быть:</w:t>
      </w:r>
    </w:p>
    <w:p w:rsidR="00257B25" w:rsidRPr="00550EF2" w:rsidRDefault="006143F2" w:rsidP="00257B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  <w:i/>
          <w:iCs/>
          <w:color w:val="000000"/>
          <w:szCs w:val="26"/>
        </w:rPr>
      </w:pPr>
      <w:r>
        <w:rPr>
          <w:rFonts w:eastAsia="Times New Roman"/>
        </w:rPr>
        <w:t xml:space="preserve">издание </w:t>
      </w:r>
      <w:r w:rsidR="00257B25" w:rsidRPr="00550EF2">
        <w:rPr>
          <w:rFonts w:eastAsia="Times New Roman"/>
        </w:rPr>
        <w:t>приказа о назначении ответственных за обеспечение мероприятий по энергосбережению и повышению энергетической эффективности;</w:t>
      </w:r>
    </w:p>
    <w:p w:rsidR="00257B25" w:rsidRPr="00550EF2" w:rsidRDefault="00257B25" w:rsidP="00257B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  <w:i/>
          <w:iCs/>
          <w:color w:val="000000"/>
          <w:szCs w:val="26"/>
        </w:rPr>
      </w:pPr>
      <w:r w:rsidRPr="00550EF2">
        <w:rPr>
          <w:rFonts w:eastAsia="Times New Roman"/>
        </w:rPr>
        <w:t>ежемесячный анализ потребления топливно-энергетических ресурсов руководством и определение возможных причин их нерационального использования;</w:t>
      </w:r>
    </w:p>
    <w:p w:rsidR="00257B25" w:rsidRPr="00550EF2" w:rsidRDefault="00257B25" w:rsidP="00257B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</w:rPr>
      </w:pPr>
      <w:r>
        <w:rPr>
          <w:rFonts w:eastAsia="Times New Roman"/>
        </w:rPr>
        <w:t>утепление входных дверей силиконовыми уплотнителями</w:t>
      </w:r>
      <w:r w:rsidRPr="007277F2">
        <w:rPr>
          <w:rFonts w:eastAsia="Times New Roman"/>
        </w:rPr>
        <w:t>;</w:t>
      </w:r>
    </w:p>
    <w:p w:rsidR="006143F2" w:rsidRDefault="006143F2" w:rsidP="005E026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</w:rPr>
      </w:pPr>
      <w:r w:rsidRPr="006143F2">
        <w:rPr>
          <w:rFonts w:eastAsia="Times New Roman"/>
        </w:rPr>
        <w:t xml:space="preserve">усилить контроль за </w:t>
      </w:r>
      <w:r w:rsidR="00257B25" w:rsidRPr="006143F2">
        <w:rPr>
          <w:rFonts w:eastAsia="Times New Roman"/>
        </w:rPr>
        <w:t xml:space="preserve">приборами </w:t>
      </w:r>
      <w:r w:rsidRPr="006143F2">
        <w:rPr>
          <w:rFonts w:eastAsia="Times New Roman"/>
        </w:rPr>
        <w:t xml:space="preserve">учёта индивидуального теплового пункта для </w:t>
      </w:r>
      <w:r w:rsidR="00257B25" w:rsidRPr="006143F2">
        <w:rPr>
          <w:rFonts w:eastAsia="Times New Roman"/>
        </w:rPr>
        <w:t>поддержания заданной температуры теплоносителя</w:t>
      </w:r>
      <w:r>
        <w:rPr>
          <w:rFonts w:eastAsia="Times New Roman"/>
        </w:rPr>
        <w:t>;</w:t>
      </w:r>
    </w:p>
    <w:p w:rsidR="00257B25" w:rsidRPr="006143F2" w:rsidRDefault="00257B25" w:rsidP="005E026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</w:rPr>
      </w:pPr>
      <w:r w:rsidRPr="006143F2">
        <w:rPr>
          <w:rFonts w:eastAsia="Times New Roman"/>
        </w:rPr>
        <w:t xml:space="preserve"> замена части люминесцентных светильников на светодиодные аналоги</w:t>
      </w:r>
    </w:p>
    <w:p w:rsidR="00257B25" w:rsidRPr="00550EF2" w:rsidRDefault="00257B25" w:rsidP="00257B25">
      <w:pPr>
        <w:widowControl w:val="0"/>
        <w:shd w:val="clear" w:color="auto" w:fill="FFFFFF"/>
        <w:tabs>
          <w:tab w:val="left" w:leader="underscore" w:pos="4378"/>
        </w:tabs>
        <w:adjustRightInd w:val="0"/>
        <w:spacing w:line="310" w:lineRule="exact"/>
        <w:rPr>
          <w:rFonts w:eastAsia="Times New Roman"/>
        </w:rPr>
      </w:pPr>
      <w:r w:rsidRPr="00550EF2">
        <w:rPr>
          <w:rFonts w:eastAsia="Times New Roman"/>
          <w:b/>
          <w:color w:val="000000"/>
          <w:szCs w:val="26"/>
        </w:rPr>
        <w:t>На втором этапе</w:t>
      </w:r>
      <w:r>
        <w:rPr>
          <w:rFonts w:eastAsia="Times New Roman"/>
          <w:color w:val="000000"/>
          <w:szCs w:val="26"/>
        </w:rPr>
        <w:t xml:space="preserve"> (20</w:t>
      </w:r>
      <w:r w:rsidRPr="00E219AA">
        <w:rPr>
          <w:rFonts w:eastAsia="Times New Roman"/>
          <w:color w:val="000000"/>
          <w:szCs w:val="26"/>
        </w:rPr>
        <w:t>21</w:t>
      </w:r>
      <w:r w:rsidRPr="00550EF2">
        <w:rPr>
          <w:rFonts w:eastAsia="Times New Roman"/>
          <w:color w:val="000000"/>
          <w:spacing w:val="10"/>
          <w:szCs w:val="26"/>
        </w:rPr>
        <w:t>г.) основными мероприятиями в области</w:t>
      </w:r>
    </w:p>
    <w:p w:rsidR="00257B25" w:rsidRPr="00550EF2" w:rsidRDefault="00257B25" w:rsidP="00257B25">
      <w:pPr>
        <w:widowControl w:val="0"/>
        <w:shd w:val="clear" w:color="auto" w:fill="FFFFFF"/>
        <w:adjustRightInd w:val="0"/>
        <w:spacing w:line="310" w:lineRule="exact"/>
        <w:ind w:firstLine="142"/>
        <w:rPr>
          <w:rFonts w:eastAsia="Times New Roman"/>
          <w:color w:val="000000"/>
          <w:spacing w:val="4"/>
          <w:szCs w:val="26"/>
        </w:rPr>
      </w:pPr>
      <w:r w:rsidRPr="00550EF2">
        <w:rPr>
          <w:rFonts w:eastAsia="Times New Roman"/>
          <w:color w:val="000000"/>
          <w:spacing w:val="4"/>
          <w:szCs w:val="26"/>
        </w:rPr>
        <w:t>энергосбережения и повышения энергетической эффективности должны быть:</w:t>
      </w:r>
    </w:p>
    <w:p w:rsidR="00257B25" w:rsidRDefault="00257B25" w:rsidP="00257B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left="709" w:hanging="709"/>
        <w:jc w:val="both"/>
        <w:rPr>
          <w:rFonts w:eastAsia="Times New Roman"/>
        </w:rPr>
      </w:pPr>
      <w:r>
        <w:rPr>
          <w:rFonts w:eastAsia="Times New Roman"/>
        </w:rPr>
        <w:t>замена части люминесцентных светильников на светодиодные аналоги</w:t>
      </w:r>
    </w:p>
    <w:p w:rsidR="00257B25" w:rsidRPr="00E32E57" w:rsidRDefault="00257B25" w:rsidP="00257B25">
      <w:pPr>
        <w:widowControl w:val="0"/>
        <w:shd w:val="clear" w:color="auto" w:fill="FFFFFF"/>
        <w:adjustRightInd w:val="0"/>
        <w:spacing w:before="259" w:line="302" w:lineRule="exact"/>
        <w:ind w:left="216" w:right="101" w:firstLine="677"/>
        <w:jc w:val="both"/>
        <w:rPr>
          <w:rFonts w:eastAsia="Times New Roman"/>
        </w:rPr>
      </w:pPr>
      <w:r w:rsidRPr="00E32E57">
        <w:rPr>
          <w:rFonts w:eastAsia="Times New Roman"/>
          <w:color w:val="000000"/>
          <w:szCs w:val="26"/>
        </w:rPr>
        <w:t>По итогам реализации Программы прогнозируется достижение следующих основных результатов:</w:t>
      </w:r>
    </w:p>
    <w:p w:rsidR="00257B25" w:rsidRPr="00E32E57" w:rsidRDefault="00257B25" w:rsidP="00257B2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7" w:line="302" w:lineRule="exact"/>
        <w:ind w:left="709" w:right="108" w:hanging="425"/>
        <w:jc w:val="both"/>
        <w:rPr>
          <w:rFonts w:eastAsia="Times New Roman"/>
        </w:rPr>
      </w:pPr>
      <w:r w:rsidRPr="00E32E57">
        <w:rPr>
          <w:rFonts w:eastAsia="Times New Roman"/>
          <w:color w:val="000000"/>
          <w:szCs w:val="26"/>
        </w:rPr>
        <w:t>обеспечения надежной и бесперебойной работы системы энергоснабжения организации;</w:t>
      </w:r>
    </w:p>
    <w:p w:rsidR="00257B25" w:rsidRPr="00E32E57" w:rsidRDefault="00257B25" w:rsidP="00257B2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302" w:lineRule="exact"/>
        <w:ind w:left="709" w:right="86" w:hanging="425"/>
        <w:jc w:val="both"/>
        <w:rPr>
          <w:rFonts w:eastAsia="Times New Roman"/>
          <w:color w:val="000000"/>
          <w:szCs w:val="26"/>
        </w:rPr>
      </w:pPr>
      <w:r w:rsidRPr="00E32E57">
        <w:rPr>
          <w:rFonts w:eastAsia="Times New Roman"/>
          <w:color w:val="000000"/>
          <w:szCs w:val="26"/>
        </w:rPr>
        <w:t>снижения расходов на коммунальные услуги и энергетические ресурсы</w:t>
      </w:r>
      <w:r w:rsidRPr="00E32E57">
        <w:rPr>
          <w:rFonts w:eastAsia="Times New Roman"/>
          <w:color w:val="000000"/>
          <w:szCs w:val="26"/>
        </w:rPr>
        <w:br/>
      </w:r>
      <w:r w:rsidRPr="006143F2">
        <w:rPr>
          <w:rFonts w:eastAsia="Times New Roman"/>
          <w:color w:val="000000"/>
          <w:szCs w:val="26"/>
        </w:rPr>
        <w:t>не менее 6 %</w:t>
      </w:r>
      <w:r w:rsidRPr="00E32E57">
        <w:rPr>
          <w:rFonts w:eastAsia="Times New Roman"/>
          <w:color w:val="000000"/>
          <w:szCs w:val="26"/>
        </w:rPr>
        <w:t xml:space="preserve"> по отношению к 201</w:t>
      </w:r>
      <w:r w:rsidRPr="00E219AA">
        <w:rPr>
          <w:rFonts w:eastAsia="Times New Roman"/>
          <w:color w:val="000000"/>
          <w:szCs w:val="26"/>
        </w:rPr>
        <w:t>8</w:t>
      </w:r>
      <w:r w:rsidRPr="00E32E57">
        <w:rPr>
          <w:rFonts w:eastAsia="Times New Roman"/>
          <w:color w:val="000000"/>
          <w:szCs w:val="26"/>
        </w:rPr>
        <w:t xml:space="preserve"> </w:t>
      </w:r>
      <w:r>
        <w:rPr>
          <w:rFonts w:eastAsia="Times New Roman"/>
          <w:color w:val="000000"/>
          <w:szCs w:val="26"/>
        </w:rPr>
        <w:t>г, с ежегодным снижением</w:t>
      </w:r>
      <w:r w:rsidRPr="00E32E57">
        <w:rPr>
          <w:rFonts w:eastAsia="Times New Roman"/>
          <w:color w:val="000000"/>
          <w:szCs w:val="26"/>
        </w:rPr>
        <w:t>;</w:t>
      </w:r>
    </w:p>
    <w:p w:rsidR="00257B25" w:rsidRPr="00E32E57" w:rsidRDefault="00257B25" w:rsidP="00257B2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line="302" w:lineRule="exact"/>
        <w:ind w:left="709" w:right="79" w:hanging="425"/>
        <w:jc w:val="both"/>
        <w:rPr>
          <w:rFonts w:eastAsia="Times New Roman"/>
        </w:rPr>
      </w:pPr>
      <w:r w:rsidRPr="00E32E57">
        <w:rPr>
          <w:rFonts w:eastAsia="Times New Roman"/>
          <w:color w:val="000000"/>
          <w:szCs w:val="26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257B25" w:rsidRPr="00E32E57" w:rsidRDefault="00257B25" w:rsidP="00257B25">
      <w:pPr>
        <w:widowControl w:val="0"/>
        <w:shd w:val="clear" w:color="auto" w:fill="FFFFFF"/>
        <w:adjustRightInd w:val="0"/>
        <w:spacing w:line="302" w:lineRule="exact"/>
        <w:ind w:left="709" w:right="79" w:hanging="425"/>
        <w:jc w:val="both"/>
        <w:rPr>
          <w:rFonts w:eastAsia="Times New Roman"/>
        </w:rPr>
      </w:pPr>
    </w:p>
    <w:p w:rsidR="00257B25" w:rsidRPr="00E32E57" w:rsidRDefault="00257B25" w:rsidP="00257B25">
      <w:pPr>
        <w:widowControl w:val="0"/>
        <w:shd w:val="clear" w:color="auto" w:fill="FFFFFF"/>
        <w:adjustRightInd w:val="0"/>
        <w:spacing w:line="302" w:lineRule="exact"/>
        <w:ind w:left="79" w:right="173" w:firstLine="684"/>
        <w:jc w:val="both"/>
        <w:rPr>
          <w:rFonts w:eastAsia="Times New Roman"/>
        </w:rPr>
      </w:pPr>
      <w:r w:rsidRPr="00E32E57">
        <w:rPr>
          <w:rFonts w:eastAsia="Times New Roman"/>
          <w:color w:val="000000"/>
          <w:szCs w:val="26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257B25" w:rsidRPr="00E32E57" w:rsidRDefault="00257B25" w:rsidP="00257B25">
      <w:pPr>
        <w:widowControl w:val="0"/>
        <w:shd w:val="clear" w:color="auto" w:fill="FFFFFF"/>
        <w:adjustRightInd w:val="0"/>
        <w:ind w:firstLine="709"/>
        <w:jc w:val="both"/>
        <w:rPr>
          <w:rFonts w:eastAsia="Times New Roman"/>
          <w:color w:val="000000"/>
          <w:spacing w:val="1"/>
          <w:szCs w:val="26"/>
        </w:rPr>
      </w:pPr>
    </w:p>
    <w:p w:rsidR="00257B25" w:rsidRPr="008E434B" w:rsidRDefault="00257B25" w:rsidP="00257B25">
      <w:pPr>
        <w:spacing w:after="120"/>
        <w:rPr>
          <w:sz w:val="28"/>
          <w:szCs w:val="28"/>
        </w:rPr>
      </w:pPr>
    </w:p>
    <w:p w:rsidR="00B93B73" w:rsidRDefault="00B93B73" w:rsidP="00D84429">
      <w:pPr>
        <w:rPr>
          <w:sz w:val="24"/>
          <w:szCs w:val="24"/>
        </w:rPr>
        <w:sectPr w:rsidR="00B93B73">
          <w:pgSz w:w="11906" w:h="16838"/>
          <w:pgMar w:top="851" w:right="567" w:bottom="567" w:left="1134" w:header="397" w:footer="397" w:gutter="0"/>
          <w:cols w:space="709"/>
        </w:sect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00"/>
        <w:gridCol w:w="3398"/>
        <w:gridCol w:w="695"/>
        <w:gridCol w:w="1571"/>
        <w:gridCol w:w="839"/>
        <w:gridCol w:w="1200"/>
        <w:gridCol w:w="1068"/>
        <w:gridCol w:w="971"/>
        <w:gridCol w:w="1439"/>
        <w:gridCol w:w="600"/>
        <w:gridCol w:w="1803"/>
        <w:gridCol w:w="276"/>
      </w:tblGrid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1" w:name="RANGE!A1:FE21"/>
            <w:bookmarkEnd w:id="1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Приложение № 2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к требованиям к форме программы в области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энергосбережения и повышения энергетической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эффективности организаций с участием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государства и муниципального образования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5668E">
              <w:rPr>
                <w:rFonts w:eastAsia="Times New Roman" w:cs="Times New Roman"/>
                <w:sz w:val="18"/>
                <w:szCs w:val="18"/>
              </w:rPr>
              <w:t>и отчетности о ходе ее реализации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О ЦЕЛЕВЫХ ПОКАЗАТЕЛЯХ ПРОГРАММЫ ЭНЕРГОСБЕРЕЖЕНИЯ И ПОВЫШЕНИЯ ЭНЕРГЕТИЧЕСКОЙ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668E">
              <w:rPr>
                <w:rFonts w:eastAsia="Times New Roman" w:cs="Times New Roman"/>
                <w:sz w:val="24"/>
                <w:szCs w:val="24"/>
              </w:rPr>
              <w:t>ЭФФЕКТИВНОСТИ ЭФФЕКТИВНОСТИ</w:t>
            </w: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25668E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25668E" w:rsidTr="00547863">
        <w:trPr>
          <w:trHeight w:hRule="exact" w:val="28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8E" w:rsidRPr="0025668E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8E" w:rsidRPr="0025668E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8E" w:rsidRPr="0025668E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Единица</w:t>
            </w:r>
            <w:r w:rsidRPr="0025668E">
              <w:rPr>
                <w:rFonts w:eastAsia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25668E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257B25" w:rsidRPr="0025668E" w:rsidTr="00257B25">
        <w:trPr>
          <w:trHeight w:hRule="exact"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  <w:r w:rsidRPr="0025668E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668E">
              <w:rPr>
                <w:rFonts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1 </w:t>
            </w:r>
            <w:r w:rsidRPr="0025668E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7B25" w:rsidRPr="0025668E" w:rsidTr="00257B25">
        <w:trPr>
          <w:trHeight w:hRule="exact"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7B25" w:rsidRPr="0025668E" w:rsidTr="00257B25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Снижение общего потребления тепловой энергии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7B25" w:rsidRPr="0025668E" w:rsidTr="00257B25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Снижение общего потребления электрической энергии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кВт.ч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1263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9753CA">
              <w:rPr>
                <w:rFonts w:eastAsia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1263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9753CA">
              <w:rPr>
                <w:rFonts w:eastAsia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1263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9753CA">
              <w:rPr>
                <w:rFonts w:eastAsia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7B25" w:rsidRPr="0025668E" w:rsidTr="00257B25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Снижение общего потребления </w:t>
            </w:r>
          </w:p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526343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6343">
              <w:rPr>
                <w:rFonts w:eastAsia="Times New Roman" w:cs="Times New Roman"/>
                <w:sz w:val="24"/>
                <w:szCs w:val="24"/>
              </w:rPr>
              <w:t>М</w:t>
            </w:r>
            <w:r w:rsidRPr="00526343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01744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01744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E01744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E01744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B25" w:rsidRPr="0025668E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7B25" w:rsidRPr="0025668E" w:rsidTr="00257B25">
        <w:trPr>
          <w:trHeight w:hRule="exact" w:val="2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</w:rPr>
              <w:t>Снижение общего потребления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526343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6343">
              <w:rPr>
                <w:rFonts w:eastAsia="Times New Roman" w:cs="Times New Roman"/>
                <w:sz w:val="24"/>
                <w:szCs w:val="24"/>
              </w:rPr>
              <w:t>М</w:t>
            </w:r>
            <w:r w:rsidRPr="00526343">
              <w:rPr>
                <w:rFonts w:eastAsia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050D21">
              <w:rPr>
                <w:rFonts w:eastAsia="Times New Roman" w:cs="Times New Roman"/>
                <w:sz w:val="24"/>
                <w:szCs w:val="24"/>
              </w:rPr>
              <w:t>53,42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050D21">
              <w:rPr>
                <w:rFonts w:eastAsia="Times New Roman" w:cs="Times New Roman"/>
                <w:sz w:val="24"/>
                <w:szCs w:val="24"/>
              </w:rPr>
              <w:t>53,42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E219AA" w:rsidRDefault="00257B25" w:rsidP="00257B2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050D21">
              <w:rPr>
                <w:rFonts w:eastAsia="Times New Roman" w:cs="Times New Roman"/>
                <w:sz w:val="24"/>
                <w:szCs w:val="24"/>
              </w:rPr>
              <w:t>53,42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5668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57B25" w:rsidRPr="0025668E" w:rsidTr="00257B25">
        <w:trPr>
          <w:trHeight w:hRule="exact"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57B25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Х/В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B25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57B25" w:rsidRPr="0025668E" w:rsidRDefault="00257B25" w:rsidP="00257B2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93B73" w:rsidRDefault="00B93B73" w:rsidP="00B93B73">
      <w:pPr>
        <w:rPr>
          <w:sz w:val="24"/>
          <w:szCs w:val="24"/>
        </w:rPr>
        <w:sectPr w:rsidR="00B93B73" w:rsidSect="00BC58C4">
          <w:pgSz w:w="16838" w:h="11906" w:orient="landscape"/>
          <w:pgMar w:top="1418" w:right="851" w:bottom="567" w:left="1276" w:header="397" w:footer="397" w:gutter="0"/>
          <w:cols w:space="709"/>
          <w:docGrid w:linePitch="272"/>
        </w:sectPr>
      </w:pPr>
    </w:p>
    <w:tbl>
      <w:tblPr>
        <w:tblW w:w="14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1970"/>
        <w:gridCol w:w="851"/>
        <w:gridCol w:w="850"/>
        <w:gridCol w:w="220"/>
        <w:gridCol w:w="631"/>
        <w:gridCol w:w="19"/>
        <w:gridCol w:w="634"/>
        <w:gridCol w:w="55"/>
        <w:gridCol w:w="851"/>
        <w:gridCol w:w="850"/>
        <w:gridCol w:w="851"/>
        <w:gridCol w:w="163"/>
        <w:gridCol w:w="614"/>
        <w:gridCol w:w="634"/>
        <w:gridCol w:w="290"/>
        <w:gridCol w:w="878"/>
        <w:gridCol w:w="849"/>
        <w:gridCol w:w="541"/>
        <w:gridCol w:w="212"/>
        <w:gridCol w:w="614"/>
        <w:gridCol w:w="634"/>
        <w:gridCol w:w="241"/>
        <w:gridCol w:w="927"/>
      </w:tblGrid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Приложение № 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к требованиям к форме программы в области</w:t>
            </w: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энергосбережения и повышения энергетической</w:t>
            </w: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эффективности организаций с участием</w:t>
            </w: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государства и муниципального образования</w:t>
            </w: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 отчетности о ходе ее реализации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ПЕРЕЧЕНЬ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МЕРОПРИЯТИЙ ПРОГРАММЫ ЭНЕРГОСБЕРЕЖЕНИЯ И ПОВЫШЕНИЯ ЭНЕРГЕТИЧЕСКОЙ ЭФФЕКТИВНОСТИ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C58C4" w:rsidTr="00673545">
        <w:trPr>
          <w:trHeight w:val="22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9753C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20</w:t>
            </w:r>
            <w:r w:rsidR="003412A0">
              <w:rPr>
                <w:rFonts w:eastAsia="Times New Roman" w:cs="Times New Roman"/>
                <w:sz w:val="16"/>
                <w:szCs w:val="16"/>
              </w:rPr>
              <w:t>1</w:t>
            </w:r>
            <w:r w:rsidR="009753CA">
              <w:rPr>
                <w:rFonts w:eastAsia="Times New Roman" w:cs="Times New Roman"/>
                <w:sz w:val="16"/>
                <w:szCs w:val="16"/>
              </w:rPr>
              <w:t>9</w:t>
            </w:r>
            <w:r w:rsidR="003412A0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BC58C4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9753C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20</w:t>
            </w:r>
            <w:r w:rsidR="009753CA">
              <w:rPr>
                <w:rFonts w:eastAsia="Times New Roman" w:cs="Times New Roman"/>
                <w:sz w:val="16"/>
                <w:szCs w:val="16"/>
              </w:rPr>
              <w:t>20</w:t>
            </w:r>
            <w:r w:rsidR="003412A0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BC58C4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9753C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20</w:t>
            </w:r>
            <w:r w:rsidR="009753CA">
              <w:rPr>
                <w:rFonts w:eastAsia="Times New Roman" w:cs="Times New Roman"/>
                <w:sz w:val="16"/>
                <w:szCs w:val="16"/>
              </w:rPr>
              <w:t>2</w:t>
            </w:r>
            <w:r w:rsidR="003412A0">
              <w:rPr>
                <w:rFonts w:eastAsia="Times New Roman" w:cs="Times New Roman"/>
                <w:sz w:val="16"/>
                <w:szCs w:val="16"/>
              </w:rPr>
              <w:t xml:space="preserve">1 </w:t>
            </w:r>
            <w:r w:rsidRPr="00BC58C4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C58C4" w:rsidRPr="00BC58C4" w:rsidTr="00673545">
        <w:trPr>
          <w:trHeight w:val="49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BC58C4" w:rsidRPr="00BC58C4" w:rsidTr="00673545">
        <w:trPr>
          <w:trHeight w:val="67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13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</w:tr>
      <w:tr w:rsidR="005B185A" w:rsidRPr="00BC58C4" w:rsidTr="00673545">
        <w:trPr>
          <w:trHeight w:val="61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C58C4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5B185A" w:rsidRPr="00BC58C4" w:rsidTr="00673545">
        <w:trPr>
          <w:trHeight w:val="2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C58C4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</w:tr>
      <w:tr w:rsidR="005B185A" w:rsidRPr="00BC58C4" w:rsidTr="00881293">
        <w:trPr>
          <w:trHeight w:val="225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6A775C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Замена люминесцентных ламп на светодиодные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49,1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9753CA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12630,0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кВт.ч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511C83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A766B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12630,0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кВт.ч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A766B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12630,0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673545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кВт.ч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</w:tr>
      <w:tr w:rsidR="005B185A" w:rsidRPr="00BC58C4" w:rsidTr="00881293">
        <w:trPr>
          <w:trHeight w:val="270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BC58C4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49,1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C58C4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407D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56,456</w:t>
            </w:r>
          </w:p>
        </w:tc>
      </w:tr>
      <w:tr w:rsidR="00881293" w:rsidRPr="00BC58C4" w:rsidTr="00881293">
        <w:trPr>
          <w:trHeight w:val="225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</w:rPr>
              <w:t>2.</w:t>
            </w:r>
          </w:p>
          <w:p w:rsidR="00881293" w:rsidRPr="00BC58C4" w:rsidRDefault="00881293" w:rsidP="00A766B0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 </w:t>
            </w:r>
          </w:p>
          <w:p w:rsidR="00881293" w:rsidRPr="00BC58C4" w:rsidRDefault="0088129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Реконструкция ИТП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  <w:p w:rsidR="00881293" w:rsidRPr="00BC58C4" w:rsidRDefault="00881293" w:rsidP="00881293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7158,98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9753CA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53,42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511C83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Х/В,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2,1667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53,42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Х/В,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2,1667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53,42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A351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Х/В,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2,1667</w:t>
            </w:r>
          </w:p>
        </w:tc>
      </w:tr>
      <w:tr w:rsidR="00881293" w:rsidRPr="00BC58C4" w:rsidTr="00740C58">
        <w:trPr>
          <w:trHeight w:val="225"/>
        </w:trPr>
        <w:tc>
          <w:tcPr>
            <w:tcW w:w="45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9753CA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highlight w:val="yellow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25,59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BA6C85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ГВС,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25,59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ГВС,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0,98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25,59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A351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ГВС, М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0,98</w:t>
            </w:r>
          </w:p>
        </w:tc>
      </w:tr>
      <w:tr w:rsidR="00881293" w:rsidRPr="00BC58C4" w:rsidTr="00740C58">
        <w:trPr>
          <w:trHeight w:val="225"/>
        </w:trPr>
        <w:tc>
          <w:tcPr>
            <w:tcW w:w="45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Default="00881293" w:rsidP="00260D6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D77E47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25,63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Default="00881293" w:rsidP="00A766B0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73545">
              <w:rPr>
                <w:rFonts w:eastAsia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60,386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B203A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25,63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Default="00881293" w:rsidP="00A766B0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60,386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Pr="00BC58C4" w:rsidRDefault="0088129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25,63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93" w:rsidRDefault="00881293" w:rsidP="00A351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81293">
              <w:rPr>
                <w:rFonts w:eastAsia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93" w:rsidRPr="00BC58C4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60,386</w:t>
            </w:r>
          </w:p>
        </w:tc>
      </w:tr>
      <w:tr w:rsidR="005B185A" w:rsidRPr="00BC58C4" w:rsidTr="00881293">
        <w:trPr>
          <w:trHeight w:val="270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BC58C4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D77E47" w:rsidRDefault="00576EBC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76EBC">
              <w:rPr>
                <w:rFonts w:eastAsia="Times New Roman" w:cs="Times New Roman"/>
                <w:sz w:val="16"/>
                <w:szCs w:val="16"/>
              </w:rPr>
              <w:t>7158,98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A4131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63,5327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25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6D33" w:rsidRPr="00BC58C4" w:rsidRDefault="000C6D33" w:rsidP="000C6D33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70"/>
        </w:trPr>
        <w:tc>
          <w:tcPr>
            <w:tcW w:w="24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B66AB5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B185A" w:rsidRPr="00BC58C4" w:rsidTr="00673545">
        <w:trPr>
          <w:trHeight w:val="270"/>
        </w:trPr>
        <w:tc>
          <w:tcPr>
            <w:tcW w:w="2425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B66AB5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B15998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7208,08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A4131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119,989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A4131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41310">
              <w:rPr>
                <w:rFonts w:eastAsia="Times New Roman" w:cs="Times New Roman"/>
                <w:sz w:val="16"/>
                <w:szCs w:val="16"/>
              </w:rPr>
              <w:t>119,989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5B185A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C58C4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185A" w:rsidRPr="00BC58C4" w:rsidRDefault="00A4131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41310">
              <w:rPr>
                <w:rFonts w:eastAsia="Times New Roman" w:cs="Times New Roman"/>
                <w:sz w:val="16"/>
                <w:szCs w:val="16"/>
              </w:rPr>
              <w:t>119,989</w:t>
            </w:r>
          </w:p>
        </w:tc>
      </w:tr>
    </w:tbl>
    <w:p w:rsidR="00B93B73" w:rsidRDefault="00B93B73" w:rsidP="00B93B73">
      <w:pPr>
        <w:rPr>
          <w:sz w:val="24"/>
          <w:szCs w:val="24"/>
        </w:rPr>
      </w:pPr>
    </w:p>
    <w:p w:rsidR="00BC58C4" w:rsidRDefault="00BC58C4" w:rsidP="00B93B73">
      <w:pPr>
        <w:rPr>
          <w:sz w:val="24"/>
          <w:szCs w:val="24"/>
        </w:rPr>
      </w:pPr>
    </w:p>
    <w:p w:rsidR="00BC58C4" w:rsidRDefault="00BC58C4" w:rsidP="00B93B73">
      <w:pPr>
        <w:rPr>
          <w:sz w:val="24"/>
          <w:szCs w:val="24"/>
        </w:rPr>
      </w:pPr>
    </w:p>
    <w:p w:rsidR="00B93B73" w:rsidRPr="00D737D5" w:rsidRDefault="00B93B73" w:rsidP="00B93B73">
      <w:pPr>
        <w:rPr>
          <w:sz w:val="24"/>
          <w:szCs w:val="24"/>
        </w:rPr>
      </w:pPr>
    </w:p>
    <w:p w:rsidR="00A951CB" w:rsidRDefault="00A951CB"/>
    <w:sectPr w:rsidR="00A951CB" w:rsidSect="00BC58C4">
      <w:pgSz w:w="16838" w:h="11906" w:orient="landscape"/>
      <w:pgMar w:top="851" w:right="851" w:bottom="567" w:left="1276" w:header="397" w:footer="39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7C"/>
    <w:multiLevelType w:val="hybridMultilevel"/>
    <w:tmpl w:val="817CD2E4"/>
    <w:lvl w:ilvl="0" w:tplc="5F7C8A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D0D"/>
    <w:multiLevelType w:val="hybridMultilevel"/>
    <w:tmpl w:val="12467336"/>
    <w:lvl w:ilvl="0" w:tplc="1FD6B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D6B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E5A"/>
    <w:multiLevelType w:val="hybridMultilevel"/>
    <w:tmpl w:val="1636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6B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8484E"/>
    <w:multiLevelType w:val="hybridMultilevel"/>
    <w:tmpl w:val="28DE1FC6"/>
    <w:lvl w:ilvl="0" w:tplc="66BEE0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7DF7"/>
    <w:multiLevelType w:val="hybridMultilevel"/>
    <w:tmpl w:val="79F63DEC"/>
    <w:lvl w:ilvl="0" w:tplc="1FD6B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57295"/>
    <w:multiLevelType w:val="hybridMultilevel"/>
    <w:tmpl w:val="04BE628A"/>
    <w:lvl w:ilvl="0" w:tplc="1FD6B5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73"/>
    <w:rsid w:val="00007538"/>
    <w:rsid w:val="00082A68"/>
    <w:rsid w:val="0009088D"/>
    <w:rsid w:val="000A58D8"/>
    <w:rsid w:val="000C6D33"/>
    <w:rsid w:val="000F24B4"/>
    <w:rsid w:val="000F507E"/>
    <w:rsid w:val="001947F3"/>
    <w:rsid w:val="001950A4"/>
    <w:rsid w:val="001A09B6"/>
    <w:rsid w:val="001D41E9"/>
    <w:rsid w:val="0025668E"/>
    <w:rsid w:val="00257B25"/>
    <w:rsid w:val="00260D67"/>
    <w:rsid w:val="00270965"/>
    <w:rsid w:val="002B4289"/>
    <w:rsid w:val="002C2771"/>
    <w:rsid w:val="002E4CBC"/>
    <w:rsid w:val="002F0D6D"/>
    <w:rsid w:val="002F29DC"/>
    <w:rsid w:val="00303143"/>
    <w:rsid w:val="003412A0"/>
    <w:rsid w:val="00342DDD"/>
    <w:rsid w:val="00381E44"/>
    <w:rsid w:val="003E39AE"/>
    <w:rsid w:val="003E543A"/>
    <w:rsid w:val="004030D3"/>
    <w:rsid w:val="00477F08"/>
    <w:rsid w:val="00484D3C"/>
    <w:rsid w:val="00511C83"/>
    <w:rsid w:val="00526343"/>
    <w:rsid w:val="00547863"/>
    <w:rsid w:val="00576EBC"/>
    <w:rsid w:val="005A14F0"/>
    <w:rsid w:val="005B185A"/>
    <w:rsid w:val="00610163"/>
    <w:rsid w:val="006143F2"/>
    <w:rsid w:val="00615429"/>
    <w:rsid w:val="0064675F"/>
    <w:rsid w:val="006673DC"/>
    <w:rsid w:val="00673545"/>
    <w:rsid w:val="00695460"/>
    <w:rsid w:val="006A775C"/>
    <w:rsid w:val="006D03C0"/>
    <w:rsid w:val="006E37E7"/>
    <w:rsid w:val="0078246F"/>
    <w:rsid w:val="008250AE"/>
    <w:rsid w:val="008427E0"/>
    <w:rsid w:val="00842E25"/>
    <w:rsid w:val="00854990"/>
    <w:rsid w:val="00872008"/>
    <w:rsid w:val="00881293"/>
    <w:rsid w:val="00887FB0"/>
    <w:rsid w:val="008E434B"/>
    <w:rsid w:val="00915B31"/>
    <w:rsid w:val="00915E25"/>
    <w:rsid w:val="009753CA"/>
    <w:rsid w:val="0098482B"/>
    <w:rsid w:val="00A02169"/>
    <w:rsid w:val="00A41310"/>
    <w:rsid w:val="00A51909"/>
    <w:rsid w:val="00A766B0"/>
    <w:rsid w:val="00A951CB"/>
    <w:rsid w:val="00AA294C"/>
    <w:rsid w:val="00AB3566"/>
    <w:rsid w:val="00AD5DF1"/>
    <w:rsid w:val="00AD7365"/>
    <w:rsid w:val="00B15998"/>
    <w:rsid w:val="00B17EAF"/>
    <w:rsid w:val="00B53181"/>
    <w:rsid w:val="00B64072"/>
    <w:rsid w:val="00B66AB5"/>
    <w:rsid w:val="00B93B73"/>
    <w:rsid w:val="00BA6C85"/>
    <w:rsid w:val="00BC58C4"/>
    <w:rsid w:val="00BE609E"/>
    <w:rsid w:val="00C65841"/>
    <w:rsid w:val="00C6732D"/>
    <w:rsid w:val="00CB2E99"/>
    <w:rsid w:val="00D05DF3"/>
    <w:rsid w:val="00D36D2B"/>
    <w:rsid w:val="00D407D3"/>
    <w:rsid w:val="00D516F1"/>
    <w:rsid w:val="00D60FDE"/>
    <w:rsid w:val="00D63DB5"/>
    <w:rsid w:val="00D72045"/>
    <w:rsid w:val="00D727D2"/>
    <w:rsid w:val="00D77E47"/>
    <w:rsid w:val="00D84429"/>
    <w:rsid w:val="00DA5820"/>
    <w:rsid w:val="00DB164A"/>
    <w:rsid w:val="00DB1C12"/>
    <w:rsid w:val="00E23D2F"/>
    <w:rsid w:val="00E50FDE"/>
    <w:rsid w:val="00E73FF6"/>
    <w:rsid w:val="00F0304E"/>
    <w:rsid w:val="00F33C20"/>
    <w:rsid w:val="00F91144"/>
    <w:rsid w:val="00F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92F68-F773-4C97-BE3B-62B6921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B5"/>
    <w:pPr>
      <w:spacing w:after="0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98482B"/>
    <w:pPr>
      <w:keepNext/>
      <w:autoSpaceDE w:val="0"/>
      <w:autoSpaceDN w:val="0"/>
      <w:spacing w:before="120" w:after="120" w:line="288" w:lineRule="auto"/>
      <w:ind w:left="720" w:hanging="360"/>
      <w:outlineLvl w:val="0"/>
    </w:pPr>
    <w:rPr>
      <w:rFonts w:ascii="Arial" w:eastAsia="Times New Roman" w:hAnsi="Arial"/>
      <w:bCs/>
      <w:i/>
      <w:iCs/>
      <w:kern w:val="32"/>
      <w:sz w:val="30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4289"/>
    <w:pPr>
      <w:keepNext/>
      <w:autoSpaceDE w:val="0"/>
      <w:autoSpaceDN w:val="0"/>
      <w:spacing w:before="120" w:after="120" w:line="240" w:lineRule="auto"/>
      <w:ind w:left="720" w:hanging="360"/>
      <w:outlineLvl w:val="1"/>
    </w:pPr>
    <w:rPr>
      <w:rFonts w:eastAsia="Times New Roman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4289"/>
    <w:rPr>
      <w:rFonts w:ascii="Times New Roman" w:eastAsia="Times New Roman" w:hAnsi="Times New Roman"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8482B"/>
    <w:rPr>
      <w:rFonts w:ascii="Arial" w:eastAsia="Times New Roman" w:hAnsi="Arial"/>
      <w:bCs/>
      <w:i/>
      <w:iCs/>
      <w:kern w:val="32"/>
      <w:sz w:val="30"/>
      <w:szCs w:val="32"/>
    </w:rPr>
  </w:style>
  <w:style w:type="paragraph" w:styleId="a3">
    <w:name w:val="List Paragraph"/>
    <w:basedOn w:val="a"/>
    <w:link w:val="a4"/>
    <w:uiPriority w:val="34"/>
    <w:qFormat/>
    <w:rsid w:val="00BE609E"/>
    <w:pPr>
      <w:ind w:firstLine="567"/>
      <w:contextualSpacing/>
    </w:pPr>
    <w:rPr>
      <w:rFonts w:asciiTheme="minorHAnsi" w:hAnsiTheme="minorHAnsi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E609E"/>
    <w:rPr>
      <w:sz w:val="26"/>
      <w:szCs w:val="26"/>
    </w:rPr>
  </w:style>
  <w:style w:type="table" w:styleId="a5">
    <w:name w:val="Table Grid"/>
    <w:basedOn w:val="a1"/>
    <w:uiPriority w:val="59"/>
    <w:rsid w:val="002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 ГБУ ЦЭС</dc:creator>
  <cp:lastModifiedBy>Каниовская Мария Витальевна</cp:lastModifiedBy>
  <cp:revision>2</cp:revision>
  <cp:lastPrinted>2016-03-18T06:26:00Z</cp:lastPrinted>
  <dcterms:created xsi:type="dcterms:W3CDTF">2019-10-29T08:46:00Z</dcterms:created>
  <dcterms:modified xsi:type="dcterms:W3CDTF">2019-10-29T08:46:00Z</dcterms:modified>
</cp:coreProperties>
</file>